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5F" w:rsidRDefault="005F5E06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>T</w:t>
      </w:r>
      <w:r w:rsidR="00BB605F">
        <w:rPr>
          <w:rFonts w:ascii="Georgia" w:hAnsi="Georgia"/>
          <w:color w:val="353638"/>
          <w:sz w:val="23"/>
          <w:szCs w:val="23"/>
        </w:rPr>
        <w:t>he</w:t>
      </w:r>
      <w:r>
        <w:rPr>
          <w:rFonts w:ascii="Georgia" w:hAnsi="Georgia"/>
          <w:color w:val="353638"/>
          <w:sz w:val="23"/>
          <w:szCs w:val="23"/>
        </w:rPr>
        <w:t xml:space="preserve"> recent</w:t>
      </w:r>
      <w:r w:rsidR="00BB605F">
        <w:rPr>
          <w:rFonts w:ascii="Georgia" w:hAnsi="Georgia"/>
          <w:color w:val="353638"/>
          <w:sz w:val="23"/>
          <w:szCs w:val="23"/>
        </w:rPr>
        <w:t xml:space="preserve"> revelations about the governance of Console</w:t>
      </w:r>
      <w:r>
        <w:rPr>
          <w:rFonts w:ascii="Georgia" w:hAnsi="Georgia"/>
          <w:color w:val="353638"/>
          <w:sz w:val="23"/>
          <w:szCs w:val="23"/>
        </w:rPr>
        <w:t xml:space="preserve"> have come as another shock to the Charity and Community &amp; Voluntary Sector</w:t>
      </w:r>
      <w:r w:rsidR="00BB605F">
        <w:rPr>
          <w:rFonts w:ascii="Georgia" w:hAnsi="Georgia"/>
          <w:color w:val="353638"/>
          <w:sz w:val="23"/>
          <w:szCs w:val="23"/>
        </w:rPr>
        <w:t xml:space="preserve"> and </w:t>
      </w:r>
      <w:r w:rsidR="008D51D4">
        <w:rPr>
          <w:rFonts w:ascii="Georgia" w:hAnsi="Georgia"/>
          <w:color w:val="353638"/>
          <w:sz w:val="23"/>
          <w:szCs w:val="23"/>
        </w:rPr>
        <w:t>many of you may be concerned about</w:t>
      </w:r>
      <w:r w:rsidR="00BB605F">
        <w:rPr>
          <w:rFonts w:ascii="Georgia" w:hAnsi="Georgia"/>
          <w:color w:val="353638"/>
          <w:sz w:val="23"/>
          <w:szCs w:val="23"/>
        </w:rPr>
        <w:t xml:space="preserve"> the negative impact these shocking abuses</w:t>
      </w:r>
      <w:r w:rsidR="008D51D4">
        <w:rPr>
          <w:rFonts w:ascii="Georgia" w:hAnsi="Georgia"/>
          <w:color w:val="353638"/>
          <w:sz w:val="23"/>
          <w:szCs w:val="23"/>
        </w:rPr>
        <w:t xml:space="preserve"> will have</w:t>
      </w:r>
      <w:r w:rsidR="00BB605F">
        <w:rPr>
          <w:rFonts w:ascii="Georgia" w:hAnsi="Georgia"/>
          <w:color w:val="353638"/>
          <w:sz w:val="23"/>
          <w:szCs w:val="23"/>
        </w:rPr>
        <w:t xml:space="preserve"> on both </w:t>
      </w:r>
      <w:r w:rsidR="008D51D4">
        <w:rPr>
          <w:rFonts w:ascii="Georgia" w:hAnsi="Georgia"/>
          <w:color w:val="353638"/>
          <w:sz w:val="23"/>
          <w:szCs w:val="23"/>
        </w:rPr>
        <w:t>your</w:t>
      </w:r>
      <w:r w:rsidR="00BB605F">
        <w:rPr>
          <w:rFonts w:ascii="Georgia" w:hAnsi="Georgia"/>
          <w:color w:val="353638"/>
          <w:sz w:val="23"/>
          <w:szCs w:val="23"/>
        </w:rPr>
        <w:t xml:space="preserve"> individual organisation and the wider sector. It is extremely disturbing, especially after all the good work done in recent years on good governance and committing to openness and transparency.</w:t>
      </w:r>
    </w:p>
    <w:p w:rsidR="00BB605F" w:rsidRDefault="008D51D4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 xml:space="preserve">Over the past two weeks </w:t>
      </w:r>
      <w:r w:rsidR="00BB605F">
        <w:rPr>
          <w:rFonts w:ascii="Georgia" w:hAnsi="Georgia"/>
          <w:color w:val="353638"/>
          <w:sz w:val="23"/>
          <w:szCs w:val="23"/>
        </w:rPr>
        <w:t>The Wheel has been working</w:t>
      </w:r>
      <w:r>
        <w:rPr>
          <w:rFonts w:ascii="Georgia" w:hAnsi="Georgia"/>
          <w:color w:val="353638"/>
          <w:sz w:val="23"/>
          <w:szCs w:val="23"/>
        </w:rPr>
        <w:t xml:space="preserve"> with the media and behind the scenes with the Charity Regulator and other key actors</w:t>
      </w:r>
      <w:r w:rsidR="00BB605F">
        <w:rPr>
          <w:rFonts w:ascii="Georgia" w:hAnsi="Georgia"/>
          <w:color w:val="353638"/>
          <w:sz w:val="23"/>
          <w:szCs w:val="23"/>
        </w:rPr>
        <w:t xml:space="preserve"> to limit the collateral damage to the sector from this extremely particular case that went undetected for far too long.</w:t>
      </w:r>
    </w:p>
    <w:p w:rsidR="00BB605F" w:rsidRDefault="00BB605F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>In light of all of this,</w:t>
      </w:r>
      <w:r w:rsidR="008845A3">
        <w:rPr>
          <w:rFonts w:ascii="Georgia" w:hAnsi="Georgia"/>
          <w:color w:val="353638"/>
          <w:sz w:val="23"/>
          <w:szCs w:val="23"/>
        </w:rPr>
        <w:t xml:space="preserve"> The Wheel </w:t>
      </w:r>
      <w:proofErr w:type="gramStart"/>
      <w:r>
        <w:rPr>
          <w:rFonts w:ascii="Georgia" w:hAnsi="Georgia"/>
          <w:color w:val="353638"/>
          <w:sz w:val="23"/>
          <w:szCs w:val="23"/>
        </w:rPr>
        <w:t>have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been articulating</w:t>
      </w:r>
      <w:r w:rsidR="008845A3">
        <w:rPr>
          <w:rFonts w:ascii="Georgia" w:hAnsi="Georgia"/>
          <w:color w:val="353638"/>
          <w:sz w:val="23"/>
          <w:szCs w:val="23"/>
        </w:rPr>
        <w:t xml:space="preserve"> the following key messages</w:t>
      </w:r>
      <w:r>
        <w:rPr>
          <w:rFonts w:ascii="Georgia" w:hAnsi="Georgia"/>
          <w:color w:val="353638"/>
          <w:sz w:val="23"/>
          <w:szCs w:val="23"/>
        </w:rPr>
        <w:t xml:space="preserve"> in the media and to key stakeholders</w:t>
      </w:r>
      <w:r w:rsidR="008845A3">
        <w:rPr>
          <w:rFonts w:ascii="Georgia" w:hAnsi="Georgia"/>
          <w:color w:val="353638"/>
          <w:sz w:val="23"/>
          <w:szCs w:val="23"/>
        </w:rPr>
        <w:t>:</w:t>
      </w:r>
    </w:p>
    <w:p w:rsidR="00BB605F" w:rsidRDefault="00BB605F" w:rsidP="00BB605F">
      <w:pPr>
        <w:shd w:val="clear" w:color="auto" w:fill="FFFFFF"/>
        <w:spacing w:before="100" w:before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proofErr w:type="gramStart"/>
      <w:r>
        <w:rPr>
          <w:rFonts w:ascii="Georgia" w:hAnsi="Georgia"/>
          <w:color w:val="353638"/>
          <w:sz w:val="23"/>
          <w:szCs w:val="23"/>
        </w:rPr>
        <w:t>no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generalisations should be made to the sector as a whole as a result of this very particular case - it is always unfair to generalise in this way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proofErr w:type="gramStart"/>
      <w:r>
        <w:rPr>
          <w:rFonts w:ascii="Georgia" w:hAnsi="Georgia"/>
          <w:color w:val="353638"/>
          <w:sz w:val="23"/>
          <w:szCs w:val="23"/>
        </w:rPr>
        <w:t>no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trustees should privately benefit from their work as a trustee, and employees, or people paid to do regular work for charities, should never be trustees, company directors or board members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proofErr w:type="gramStart"/>
      <w:r>
        <w:rPr>
          <w:rFonts w:ascii="Georgia" w:hAnsi="Georgia"/>
          <w:color w:val="353638"/>
          <w:sz w:val="23"/>
          <w:szCs w:val="23"/>
        </w:rPr>
        <w:t>all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charities should have completed their registration process with the Charity Regulator and submitted their first annual report, and those that haven't are in breach of legal requirements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proofErr w:type="gramStart"/>
      <w:r>
        <w:rPr>
          <w:rFonts w:ascii="Georgia" w:hAnsi="Georgia"/>
          <w:color w:val="353638"/>
          <w:sz w:val="23"/>
          <w:szCs w:val="23"/>
        </w:rPr>
        <w:t>all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charities should adopt the </w:t>
      </w:r>
      <w:r>
        <w:rPr>
          <w:rStyle w:val="Emphasis"/>
          <w:rFonts w:ascii="Georgia" w:hAnsi="Georgia"/>
          <w:color w:val="353638"/>
          <w:sz w:val="23"/>
          <w:szCs w:val="23"/>
        </w:rPr>
        <w:t>Governance Code for Community, Voluntary and Charitable Organisations</w:t>
      </w:r>
      <w:r>
        <w:rPr>
          <w:rFonts w:ascii="Georgia" w:hAnsi="Georgia"/>
          <w:color w:val="353638"/>
          <w:sz w:val="23"/>
          <w:szCs w:val="23"/>
        </w:rPr>
        <w:t> (see </w:t>
      </w:r>
      <w:hyperlink r:id="rId4" w:tgtFrame="_blank" w:history="1">
        <w:r>
          <w:rPr>
            <w:rStyle w:val="Hyperlink"/>
            <w:rFonts w:ascii="Georgia" w:hAnsi="Georgia"/>
            <w:color w:val="289FD8"/>
            <w:sz w:val="23"/>
            <w:szCs w:val="23"/>
          </w:rPr>
          <w:t>www.governancecode.ie</w:t>
        </w:r>
      </w:hyperlink>
      <w:r>
        <w:rPr>
          <w:rFonts w:ascii="Georgia" w:hAnsi="Georgia"/>
          <w:color w:val="353638"/>
          <w:sz w:val="23"/>
          <w:szCs w:val="23"/>
        </w:rPr>
        <w:t>)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proofErr w:type="gramStart"/>
      <w:r>
        <w:rPr>
          <w:rFonts w:ascii="Georgia" w:hAnsi="Georgia"/>
          <w:color w:val="353638"/>
          <w:sz w:val="23"/>
          <w:szCs w:val="23"/>
        </w:rPr>
        <w:t>all</w:t>
      </w:r>
      <w:proofErr w:type="gramEnd"/>
      <w:r>
        <w:rPr>
          <w:rFonts w:ascii="Georgia" w:hAnsi="Georgia"/>
          <w:color w:val="353638"/>
          <w:sz w:val="23"/>
          <w:szCs w:val="23"/>
        </w:rPr>
        <w:t xml:space="preserve"> fundraising charities should ensure that they comply with the </w:t>
      </w:r>
      <w:r>
        <w:rPr>
          <w:rStyle w:val="Emphasis"/>
          <w:rFonts w:ascii="Georgia" w:hAnsi="Georgia"/>
          <w:color w:val="353638"/>
          <w:sz w:val="23"/>
          <w:szCs w:val="23"/>
        </w:rPr>
        <w:t>Statement of Guiding Principles for Fundraising by Charities</w:t>
      </w:r>
      <w:r>
        <w:rPr>
          <w:rFonts w:ascii="Georgia" w:hAnsi="Georgia"/>
          <w:color w:val="353638"/>
          <w:sz w:val="23"/>
          <w:szCs w:val="23"/>
        </w:rPr>
        <w:t> (</w:t>
      </w:r>
      <w:hyperlink r:id="rId5" w:tgtFrame="_blank" w:history="1">
        <w:r>
          <w:rPr>
            <w:rStyle w:val="Hyperlink"/>
            <w:rFonts w:ascii="Georgia" w:hAnsi="Georgia"/>
            <w:color w:val="289FD8"/>
            <w:sz w:val="23"/>
            <w:szCs w:val="23"/>
          </w:rPr>
          <w:t>www.ictr.ie</w:t>
        </w:r>
      </w:hyperlink>
      <w:r>
        <w:rPr>
          <w:rFonts w:ascii="Georgia" w:hAnsi="Georgia"/>
          <w:color w:val="353638"/>
          <w:sz w:val="23"/>
          <w:szCs w:val="23"/>
        </w:rPr>
        <w:t>)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r>
        <w:rPr>
          <w:rFonts w:ascii="Georgia" w:hAnsi="Georgia"/>
          <w:color w:val="353638"/>
          <w:sz w:val="23"/>
          <w:szCs w:val="23"/>
        </w:rPr>
        <w:t>The Charity Regulator should quickly set a financial reporting standard for charities and we believe that standard should be the Statement of Recommended Practice for Financial Reporting by Charities (the SORP)</w:t>
      </w:r>
    </w:p>
    <w:p w:rsidR="00BB605F" w:rsidRDefault="00BB605F" w:rsidP="00BB605F">
      <w:pPr>
        <w:shd w:val="clear" w:color="auto" w:fill="FFFFFF"/>
        <w:spacing w:before="100" w:beforeAutospacing="1" w:after="100" w:afterAutospacing="1" w:line="345" w:lineRule="atLeast"/>
        <w:ind w:left="360"/>
      </w:pPr>
      <w:r>
        <w:rPr>
          <w:rFonts w:ascii="Symbol" w:hAnsi="Symbol"/>
          <w:color w:val="353638"/>
          <w:sz w:val="20"/>
          <w:szCs w:val="20"/>
        </w:rPr>
        <w:t></w:t>
      </w:r>
      <w:r>
        <w:rPr>
          <w:color w:val="353638"/>
          <w:sz w:val="14"/>
          <w:szCs w:val="14"/>
        </w:rPr>
        <w:t xml:space="preserve">         </w:t>
      </w:r>
      <w:r>
        <w:rPr>
          <w:rFonts w:ascii="Georgia" w:hAnsi="Georgia"/>
          <w:color w:val="353638"/>
          <w:sz w:val="23"/>
          <w:szCs w:val="23"/>
        </w:rPr>
        <w:t>Funders need to review the adequacy of their reporting protocols, policies and procedures.</w:t>
      </w:r>
    </w:p>
    <w:p w:rsidR="008845A3" w:rsidRDefault="00BB605F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>The requirements above relating to the Governance Code, Fundraising Principles and SORP are known as the </w:t>
      </w:r>
      <w:r>
        <w:rPr>
          <w:rStyle w:val="Emphasis"/>
          <w:rFonts w:ascii="Georgia" w:hAnsi="Georgia"/>
          <w:color w:val="353638"/>
          <w:sz w:val="23"/>
          <w:szCs w:val="23"/>
        </w:rPr>
        <w:t>Triple Lock for Charities,</w:t>
      </w:r>
      <w:r>
        <w:rPr>
          <w:rFonts w:ascii="Georgia" w:hAnsi="Georgia"/>
          <w:color w:val="353638"/>
          <w:sz w:val="23"/>
          <w:szCs w:val="23"/>
        </w:rPr>
        <w:t> and we believe that when applied with the full powers of the Regulator, they will sustain public trust and confidence in charities.</w:t>
      </w:r>
    </w:p>
    <w:p w:rsidR="001E427F" w:rsidRDefault="008845A3" w:rsidP="00BB605F">
      <w:pPr>
        <w:pStyle w:val="NormalWeb"/>
        <w:shd w:val="clear" w:color="auto" w:fill="FFFFFF"/>
        <w:spacing w:after="0" w:afterAutospacing="0" w:line="345" w:lineRule="atLeast"/>
        <w:rPr>
          <w:rFonts w:ascii="Georgia" w:hAnsi="Georgia"/>
          <w:color w:val="353638"/>
          <w:sz w:val="22"/>
          <w:szCs w:val="22"/>
        </w:rPr>
      </w:pPr>
      <w:r w:rsidRPr="001E427F">
        <w:rPr>
          <w:rFonts w:ascii="Georgia" w:hAnsi="Georgia"/>
          <w:color w:val="404040" w:themeColor="text1" w:themeTint="BF"/>
          <w:sz w:val="22"/>
          <w:szCs w:val="22"/>
        </w:rPr>
        <w:lastRenderedPageBreak/>
        <w:t xml:space="preserve">Irish Rural Link would like to reassure members that we are registered with the Charity Regulator and comply with </w:t>
      </w:r>
      <w:r w:rsidRPr="001E427F">
        <w:rPr>
          <w:rStyle w:val="Emphasis"/>
          <w:rFonts w:ascii="Georgia" w:hAnsi="Georgia"/>
          <w:i w:val="0"/>
          <w:color w:val="353638"/>
          <w:sz w:val="23"/>
          <w:szCs w:val="23"/>
        </w:rPr>
        <w:t>Governance Code for Community, Voluntary and Charitable Organisations</w:t>
      </w:r>
      <w:r w:rsidRPr="001E427F">
        <w:rPr>
          <w:rFonts w:ascii="Georgia" w:hAnsi="Georgia"/>
          <w:color w:val="353638"/>
          <w:sz w:val="23"/>
          <w:szCs w:val="23"/>
        </w:rPr>
        <w:t> </w:t>
      </w:r>
      <w:r w:rsidRPr="001E427F">
        <w:rPr>
          <w:rFonts w:ascii="Georgia" w:hAnsi="Georgia"/>
          <w:color w:val="353638"/>
          <w:sz w:val="22"/>
          <w:szCs w:val="22"/>
        </w:rPr>
        <w:t>with all accounts available to view on C</w:t>
      </w:r>
      <w:r w:rsidR="007943EC" w:rsidRPr="001E427F">
        <w:rPr>
          <w:rFonts w:ascii="Georgia" w:hAnsi="Georgia"/>
          <w:color w:val="353638"/>
          <w:sz w:val="22"/>
          <w:szCs w:val="22"/>
        </w:rPr>
        <w:t xml:space="preserve">harities Regulator Authority (CRA) </w:t>
      </w:r>
      <w:r w:rsidRPr="001E427F">
        <w:rPr>
          <w:rFonts w:ascii="Georgia" w:hAnsi="Georgia"/>
          <w:color w:val="353638"/>
          <w:sz w:val="22"/>
          <w:szCs w:val="22"/>
        </w:rPr>
        <w:t xml:space="preserve"> </w:t>
      </w:r>
      <w:hyperlink r:id="rId6" w:history="1">
        <w:r w:rsidR="001E427F" w:rsidRPr="00E86603">
          <w:rPr>
            <w:rStyle w:val="Hyperlink"/>
            <w:rFonts w:ascii="Georgia" w:hAnsi="Georgia"/>
            <w:sz w:val="22"/>
            <w:szCs w:val="22"/>
          </w:rPr>
          <w:t>https://www.charitiesregulatoryauthority.ie/</w:t>
        </w:r>
      </w:hyperlink>
      <w:r w:rsidR="001E427F">
        <w:rPr>
          <w:rFonts w:ascii="Georgia" w:hAnsi="Georgia"/>
          <w:color w:val="353638"/>
          <w:sz w:val="22"/>
          <w:szCs w:val="22"/>
        </w:rPr>
        <w:t xml:space="preserve"> </w:t>
      </w:r>
      <w:r w:rsidR="005224D8" w:rsidRPr="001E427F">
        <w:rPr>
          <w:rFonts w:ascii="Georgia" w:hAnsi="Georgia"/>
          <w:color w:val="353638"/>
          <w:sz w:val="22"/>
          <w:szCs w:val="22"/>
        </w:rPr>
        <w:t xml:space="preserve"> and Companies Registered Office (CRO) </w:t>
      </w:r>
      <w:r w:rsidR="007943EC" w:rsidRPr="001E427F">
        <w:rPr>
          <w:rFonts w:ascii="Georgia" w:hAnsi="Georgia"/>
          <w:color w:val="353638"/>
          <w:sz w:val="22"/>
          <w:szCs w:val="22"/>
        </w:rPr>
        <w:t>websites</w:t>
      </w:r>
      <w:r w:rsidR="001E427F">
        <w:rPr>
          <w:rFonts w:ascii="Georgia" w:hAnsi="Georgia"/>
          <w:color w:val="353638"/>
          <w:sz w:val="22"/>
          <w:szCs w:val="22"/>
        </w:rPr>
        <w:t xml:space="preserve"> </w:t>
      </w:r>
      <w:hyperlink r:id="rId7" w:history="1">
        <w:r w:rsidR="001E427F" w:rsidRPr="00E86603">
          <w:rPr>
            <w:rStyle w:val="Hyperlink"/>
            <w:rFonts w:ascii="Georgia" w:hAnsi="Georgia"/>
            <w:sz w:val="22"/>
            <w:szCs w:val="22"/>
          </w:rPr>
          <w:t>https://www.cro.ie/</w:t>
        </w:r>
      </w:hyperlink>
    </w:p>
    <w:p w:rsidR="00BB605F" w:rsidRDefault="00BB605F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>There remain a number of other issues that sector and statutory stake</w:t>
      </w:r>
      <w:r w:rsidR="00DA0C79">
        <w:rPr>
          <w:rFonts w:ascii="Georgia" w:hAnsi="Georgia"/>
          <w:color w:val="353638"/>
          <w:sz w:val="23"/>
          <w:szCs w:val="23"/>
        </w:rPr>
        <w:t xml:space="preserve">holders will need to address </w:t>
      </w:r>
      <w:r>
        <w:rPr>
          <w:rFonts w:ascii="Georgia" w:hAnsi="Georgia"/>
          <w:color w:val="353638"/>
          <w:sz w:val="23"/>
          <w:szCs w:val="23"/>
        </w:rPr>
        <w:t>to avoid a repeat of this situation. Although - as reported in the High Court today - "a tactical web of deceit" is the cause of this crisis in Console, there are issues that will need to be addressed if we are to learn all the lessons:  the extent to which funders and regulators act in a timely manner on concerns; apparent shortcomings in the adequacy of audit procedures; the lack of clarity as to where responsibility lies for investigating concerns. </w:t>
      </w:r>
      <w:r w:rsidR="00DA0C79">
        <w:rPr>
          <w:rFonts w:ascii="Georgia" w:hAnsi="Georgia"/>
          <w:color w:val="353638"/>
          <w:sz w:val="23"/>
          <w:szCs w:val="23"/>
        </w:rPr>
        <w:t xml:space="preserve">There is </w:t>
      </w:r>
      <w:r>
        <w:rPr>
          <w:rFonts w:ascii="Georgia" w:hAnsi="Georgia"/>
          <w:color w:val="353638"/>
          <w:sz w:val="23"/>
          <w:szCs w:val="23"/>
        </w:rPr>
        <w:t xml:space="preserve">now </w:t>
      </w:r>
      <w:r w:rsidR="00DA0C79">
        <w:rPr>
          <w:rFonts w:ascii="Georgia" w:hAnsi="Georgia"/>
          <w:color w:val="353638"/>
          <w:sz w:val="23"/>
          <w:szCs w:val="23"/>
        </w:rPr>
        <w:t xml:space="preserve">a </w:t>
      </w:r>
      <w:r>
        <w:rPr>
          <w:rFonts w:ascii="Georgia" w:hAnsi="Georgia"/>
          <w:color w:val="353638"/>
          <w:sz w:val="23"/>
          <w:szCs w:val="23"/>
        </w:rPr>
        <w:t xml:space="preserve">need to understand these issues and identify any corrective actions necessary. </w:t>
      </w:r>
      <w:r w:rsidR="00DA0C79">
        <w:rPr>
          <w:rFonts w:ascii="Georgia" w:hAnsi="Georgia"/>
          <w:color w:val="353638"/>
          <w:sz w:val="23"/>
          <w:szCs w:val="23"/>
        </w:rPr>
        <w:t>The Wheel</w:t>
      </w:r>
      <w:r>
        <w:rPr>
          <w:rFonts w:ascii="Georgia" w:hAnsi="Georgia"/>
          <w:color w:val="353638"/>
          <w:sz w:val="23"/>
          <w:szCs w:val="23"/>
        </w:rPr>
        <w:t xml:space="preserve"> will be working to develop proposals to address these issues and others raised by recent developments.</w:t>
      </w:r>
    </w:p>
    <w:p w:rsidR="00BB605F" w:rsidRDefault="00BB605F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>There are some positive changes that have emerged from these recent developments: the Tánaiste and Minister for Justice has commenced Part IV of the Charities Act which will equip the Charity Regulator with the investigative powers it needs to take pre-emptive action (currently it can only act if a concern has been brought to its attention). The Regulator has also requested that statutory funders, such as the HSE, develop a memorandum-of-understanding with it to ensure funders inform the Regulator of any concerns.</w:t>
      </w:r>
    </w:p>
    <w:p w:rsidR="00BB605F" w:rsidRDefault="008D51D4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 xml:space="preserve">The Wheel </w:t>
      </w:r>
      <w:proofErr w:type="gramStart"/>
      <w:r w:rsidR="00BB605F">
        <w:rPr>
          <w:rFonts w:ascii="Georgia" w:hAnsi="Georgia"/>
          <w:color w:val="353638"/>
          <w:sz w:val="23"/>
          <w:szCs w:val="23"/>
        </w:rPr>
        <w:t>have</w:t>
      </w:r>
      <w:proofErr w:type="gramEnd"/>
      <w:r w:rsidR="00BB605F">
        <w:rPr>
          <w:rFonts w:ascii="Georgia" w:hAnsi="Georgia"/>
          <w:color w:val="353638"/>
          <w:sz w:val="23"/>
          <w:szCs w:val="23"/>
        </w:rPr>
        <w:t xml:space="preserve"> called on the Minister to ensure that sufficient resources are made available to the Regulator to enable it to fully implement its new investigative powers. </w:t>
      </w:r>
      <w:r>
        <w:rPr>
          <w:rFonts w:ascii="Georgia" w:hAnsi="Georgia"/>
          <w:color w:val="353638"/>
          <w:sz w:val="23"/>
          <w:szCs w:val="23"/>
        </w:rPr>
        <w:t>They</w:t>
      </w:r>
      <w:r w:rsidR="00BB605F">
        <w:rPr>
          <w:rFonts w:ascii="Georgia" w:hAnsi="Georgia"/>
          <w:color w:val="353638"/>
          <w:sz w:val="23"/>
          <w:szCs w:val="23"/>
        </w:rPr>
        <w:t xml:space="preserve"> have also asked the Regulator to expedite the setting of the financial reporting standard needed for consistent financial reporting by charities and to ensure a mechanism is put in place to monitor and drive compliance by charities with the fundraising principles.</w:t>
      </w:r>
    </w:p>
    <w:p w:rsidR="00BB605F" w:rsidRDefault="00BB605F" w:rsidP="00BB605F">
      <w:pPr>
        <w:pStyle w:val="NormalWeb"/>
        <w:shd w:val="clear" w:color="auto" w:fill="FFFFFF"/>
        <w:spacing w:after="0" w:afterAutospacing="0" w:line="345" w:lineRule="atLeast"/>
      </w:pPr>
      <w:r>
        <w:rPr>
          <w:rFonts w:ascii="Georgia" w:hAnsi="Georgia"/>
          <w:color w:val="353638"/>
          <w:sz w:val="23"/>
          <w:szCs w:val="23"/>
        </w:rPr>
        <w:t xml:space="preserve">The </w:t>
      </w:r>
      <w:r w:rsidR="005F5E06">
        <w:rPr>
          <w:rFonts w:ascii="Georgia" w:hAnsi="Georgia"/>
          <w:color w:val="353638"/>
          <w:sz w:val="23"/>
          <w:szCs w:val="23"/>
        </w:rPr>
        <w:t>Wheel developed a toolkit which w</w:t>
      </w:r>
      <w:r>
        <w:rPr>
          <w:rFonts w:ascii="Georgia" w:hAnsi="Georgia"/>
          <w:color w:val="353638"/>
          <w:sz w:val="23"/>
          <w:szCs w:val="23"/>
        </w:rPr>
        <w:t xml:space="preserve">e </w:t>
      </w:r>
      <w:r w:rsidR="00DA0C79">
        <w:rPr>
          <w:rFonts w:ascii="Georgia" w:hAnsi="Georgia"/>
          <w:color w:val="353638"/>
          <w:sz w:val="23"/>
          <w:szCs w:val="23"/>
        </w:rPr>
        <w:t>recommend you review</w:t>
      </w:r>
      <w:r w:rsidR="008D51D4">
        <w:rPr>
          <w:rFonts w:ascii="Georgia" w:hAnsi="Georgia"/>
          <w:color w:val="353638"/>
          <w:sz w:val="23"/>
          <w:szCs w:val="23"/>
        </w:rPr>
        <w:t xml:space="preserve">. The toolkit includes concrete steps to maintain high levels of trust in your organisation and tips for dealing with media queries.  The </w:t>
      </w:r>
      <w:r>
        <w:rPr>
          <w:rStyle w:val="Emphasis"/>
          <w:rFonts w:ascii="Georgia" w:hAnsi="Georgia"/>
          <w:color w:val="353638"/>
          <w:sz w:val="23"/>
          <w:szCs w:val="23"/>
        </w:rPr>
        <w:t>Toolkit for Protecting Your Organisation’s Reputation</w:t>
      </w:r>
      <w:r>
        <w:rPr>
          <w:rFonts w:ascii="Georgia" w:hAnsi="Georgia"/>
          <w:color w:val="353638"/>
          <w:sz w:val="23"/>
          <w:szCs w:val="23"/>
        </w:rPr>
        <w:t>, which you can download here:</w:t>
      </w:r>
    </w:p>
    <w:p w:rsidR="004F07CB" w:rsidRDefault="00257C0C" w:rsidP="005F5E06">
      <w:pPr>
        <w:pStyle w:val="NormalWeb"/>
        <w:shd w:val="clear" w:color="auto" w:fill="FFFFFF"/>
        <w:spacing w:after="0" w:afterAutospacing="0" w:line="345" w:lineRule="atLeast"/>
      </w:pPr>
      <w:hyperlink r:id="rId8" w:tgtFrame="_blank" w:history="1">
        <w:r w:rsidR="00BB605F">
          <w:rPr>
            <w:rStyle w:val="Hyperlink"/>
            <w:rFonts w:ascii="Georgia" w:hAnsi="Georgia"/>
            <w:color w:val="289FD8"/>
            <w:sz w:val="23"/>
            <w:szCs w:val="23"/>
          </w:rPr>
          <w:t>https://www.wheel.ie/sites/default/files/ProtectingYourReputation2016_0.pdf</w:t>
        </w:r>
      </w:hyperlink>
    </w:p>
    <w:sectPr w:rsidR="004F07CB" w:rsidSect="004F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05F"/>
    <w:rsid w:val="001E427F"/>
    <w:rsid w:val="00257C0C"/>
    <w:rsid w:val="004F07CB"/>
    <w:rsid w:val="005224D8"/>
    <w:rsid w:val="00555017"/>
    <w:rsid w:val="005F5E06"/>
    <w:rsid w:val="007943EC"/>
    <w:rsid w:val="008558F3"/>
    <w:rsid w:val="008845A3"/>
    <w:rsid w:val="008D51D4"/>
    <w:rsid w:val="00BB605F"/>
    <w:rsid w:val="00DA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0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605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60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heel.cmail2.com/t/i-l-krtudlk-biiydkkyk-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o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itiesregulatoryauthority.ie/" TargetMode="External"/><Relationship Id="rId5" Type="http://schemas.openxmlformats.org/officeDocument/2006/relationships/hyperlink" Target="http://thewheel.cmail2.com/t/i-l-krtudlk-biiydkkyk-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hewheel.cmail2.com/t/i-l-krtudlk-biiydkkyk-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Lennon</dc:creator>
  <cp:lastModifiedBy>Louise Lennon</cp:lastModifiedBy>
  <cp:revision>4</cp:revision>
  <dcterms:created xsi:type="dcterms:W3CDTF">2016-07-08T13:00:00Z</dcterms:created>
  <dcterms:modified xsi:type="dcterms:W3CDTF">2016-07-08T15:00:00Z</dcterms:modified>
</cp:coreProperties>
</file>